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bookmarkStart w:id="0" w:name="_GoBack"/>
      <w:r>
        <w:rPr>
          <w:rFonts w:hint="eastAsia" w:ascii="仿宋_GB2312" w:eastAsia="仿宋_GB2312"/>
          <w:b/>
          <w:sz w:val="44"/>
          <w:szCs w:val="44"/>
        </w:rPr>
        <w:t>湖南科技大学党员领导干部个人整改清单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794"/>
        <w:gridCol w:w="3260"/>
        <w:gridCol w:w="1559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522" w:type="dxa"/>
            <w:gridSpan w:val="5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姓名：         职务：                     2014年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“四风”方面突出问题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具体整改措施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整改时限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08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94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8522" w:type="dxa"/>
            <w:gridSpan w:val="5"/>
            <w:vAlign w:val="center"/>
          </w:tcPr>
          <w:p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说明：1、具体整改措施栏能量化的要量化，做到可操作、可监督、可检查。</w:t>
            </w:r>
          </w:p>
          <w:p>
            <w:pPr>
              <w:ind w:firstLine="720" w:firstLineChars="3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2、整改时限栏要针对整改措施逐一明确完成时间。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E37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2016-04-08T08:56:18Z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